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2A70" w14:textId="5263DC92" w:rsidR="00D07112" w:rsidRPr="00CC3730" w:rsidRDefault="002402C7">
      <w:pPr>
        <w:rPr>
          <w:b/>
          <w:sz w:val="56"/>
          <w:szCs w:val="56"/>
        </w:rPr>
      </w:pPr>
      <w:r w:rsidRPr="00CC3730">
        <w:rPr>
          <w:b/>
          <w:noProof/>
          <w:color w:val="1F4E79" w:themeColor="accent1" w:themeShade="80"/>
          <w:sz w:val="56"/>
          <w:szCs w:val="5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5080</wp:posOffset>
            </wp:positionV>
            <wp:extent cx="2192058" cy="18764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5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730">
        <w:rPr>
          <w:b/>
          <w:color w:val="1F4E79" w:themeColor="accent1" w:themeShade="80"/>
          <w:sz w:val="56"/>
          <w:szCs w:val="56"/>
        </w:rPr>
        <w:t>A tanítás és a csengetés rendje</w:t>
      </w:r>
      <w:r w:rsidRPr="00CC3730">
        <w:rPr>
          <w:b/>
          <w:color w:val="1F4E79" w:themeColor="accent1" w:themeShade="80"/>
          <w:sz w:val="80"/>
          <w:szCs w:val="80"/>
        </w:rPr>
        <w:t xml:space="preserve"> </w:t>
      </w:r>
      <w:r w:rsidRPr="00CC3730">
        <w:rPr>
          <w:b/>
          <w:sz w:val="80"/>
          <w:szCs w:val="80"/>
        </w:rPr>
        <w:tab/>
      </w:r>
      <w:r w:rsidRPr="00CC3730">
        <w:rPr>
          <w:b/>
          <w:sz w:val="80"/>
          <w:szCs w:val="80"/>
        </w:rPr>
        <w:tab/>
      </w:r>
      <w:r w:rsidRPr="00CC3730">
        <w:rPr>
          <w:b/>
          <w:sz w:val="80"/>
          <w:szCs w:val="80"/>
        </w:rPr>
        <w:tab/>
      </w:r>
    </w:p>
    <w:p w14:paraId="5208CECC" w14:textId="77777777" w:rsidR="002402C7" w:rsidRDefault="002402C7"/>
    <w:p w14:paraId="36F24638" w14:textId="77777777" w:rsidR="002402C7" w:rsidRDefault="002402C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</w:tblGrid>
      <w:tr w:rsidR="002402C7" w:rsidRPr="002402C7" w14:paraId="27B538E8" w14:textId="77777777" w:rsidTr="002E0DC6">
        <w:trPr>
          <w:jc w:val="center"/>
        </w:trPr>
        <w:tc>
          <w:tcPr>
            <w:tcW w:w="988" w:type="dxa"/>
          </w:tcPr>
          <w:p w14:paraId="077CB195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1.</w:t>
            </w:r>
          </w:p>
        </w:tc>
        <w:tc>
          <w:tcPr>
            <w:tcW w:w="2835" w:type="dxa"/>
          </w:tcPr>
          <w:p w14:paraId="55B54F6F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7</w:t>
            </w:r>
            <w:r w:rsidRPr="002402C7">
              <w:rPr>
                <w:rFonts w:cstheme="minorHAnsi"/>
                <w:sz w:val="50"/>
                <w:szCs w:val="50"/>
                <w:vertAlign w:val="superscript"/>
              </w:rPr>
              <w:t>35</w:t>
            </w:r>
            <w:r>
              <w:rPr>
                <w:rFonts w:cstheme="minorHAnsi"/>
                <w:sz w:val="50"/>
                <w:szCs w:val="50"/>
                <w:vertAlign w:val="superscript"/>
              </w:rPr>
              <w:t xml:space="preserve"> </w:t>
            </w:r>
            <w:r>
              <w:rPr>
                <w:rFonts w:cstheme="minorHAnsi"/>
                <w:sz w:val="50"/>
                <w:szCs w:val="50"/>
              </w:rPr>
              <w:t xml:space="preserve">– 8 </w:t>
            </w:r>
            <w:r w:rsidRPr="002402C7">
              <w:rPr>
                <w:rFonts w:cstheme="minorHAnsi"/>
                <w:sz w:val="50"/>
                <w:szCs w:val="50"/>
                <w:vertAlign w:val="superscript"/>
              </w:rPr>
              <w:t>20</w:t>
            </w:r>
          </w:p>
        </w:tc>
      </w:tr>
      <w:tr w:rsidR="002402C7" w:rsidRPr="002402C7" w14:paraId="2DEEB1DB" w14:textId="77777777" w:rsidTr="002E0DC6">
        <w:trPr>
          <w:jc w:val="center"/>
        </w:trPr>
        <w:tc>
          <w:tcPr>
            <w:tcW w:w="988" w:type="dxa"/>
          </w:tcPr>
          <w:p w14:paraId="6E54DF1D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2.</w:t>
            </w:r>
          </w:p>
        </w:tc>
        <w:tc>
          <w:tcPr>
            <w:tcW w:w="2835" w:type="dxa"/>
          </w:tcPr>
          <w:p w14:paraId="49005CA3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8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30</w:t>
            </w:r>
            <w:r>
              <w:rPr>
                <w:sz w:val="50"/>
                <w:szCs w:val="50"/>
              </w:rPr>
              <w:t xml:space="preserve"> – 9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15</w:t>
            </w:r>
          </w:p>
        </w:tc>
      </w:tr>
      <w:tr w:rsidR="002402C7" w:rsidRPr="002402C7" w14:paraId="3F7EA7A1" w14:textId="77777777" w:rsidTr="002E0DC6">
        <w:trPr>
          <w:jc w:val="center"/>
        </w:trPr>
        <w:tc>
          <w:tcPr>
            <w:tcW w:w="988" w:type="dxa"/>
          </w:tcPr>
          <w:p w14:paraId="3929F3D4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3.</w:t>
            </w:r>
          </w:p>
        </w:tc>
        <w:tc>
          <w:tcPr>
            <w:tcW w:w="2835" w:type="dxa"/>
          </w:tcPr>
          <w:p w14:paraId="197BDA9E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9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25</w:t>
            </w:r>
            <w:r>
              <w:rPr>
                <w:sz w:val="50"/>
                <w:szCs w:val="50"/>
              </w:rPr>
              <w:t xml:space="preserve"> – 10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10</w:t>
            </w:r>
          </w:p>
        </w:tc>
      </w:tr>
      <w:tr w:rsidR="002402C7" w:rsidRPr="002402C7" w14:paraId="1697E24B" w14:textId="77777777" w:rsidTr="002E0DC6">
        <w:trPr>
          <w:jc w:val="center"/>
        </w:trPr>
        <w:tc>
          <w:tcPr>
            <w:tcW w:w="988" w:type="dxa"/>
          </w:tcPr>
          <w:p w14:paraId="78F1A938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4.</w:t>
            </w:r>
          </w:p>
        </w:tc>
        <w:tc>
          <w:tcPr>
            <w:tcW w:w="2835" w:type="dxa"/>
          </w:tcPr>
          <w:p w14:paraId="69F5D276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10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20</w:t>
            </w:r>
            <w:r>
              <w:rPr>
                <w:sz w:val="50"/>
                <w:szCs w:val="50"/>
              </w:rPr>
              <w:t xml:space="preserve"> – 11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05</w:t>
            </w:r>
          </w:p>
        </w:tc>
      </w:tr>
      <w:tr w:rsidR="002402C7" w:rsidRPr="002402C7" w14:paraId="38F1EB50" w14:textId="77777777" w:rsidTr="002E0DC6">
        <w:trPr>
          <w:jc w:val="center"/>
        </w:trPr>
        <w:tc>
          <w:tcPr>
            <w:tcW w:w="988" w:type="dxa"/>
          </w:tcPr>
          <w:p w14:paraId="5BD12086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5.</w:t>
            </w:r>
          </w:p>
        </w:tc>
        <w:tc>
          <w:tcPr>
            <w:tcW w:w="2835" w:type="dxa"/>
          </w:tcPr>
          <w:p w14:paraId="00D9A740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11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15</w:t>
            </w:r>
            <w:r>
              <w:rPr>
                <w:sz w:val="50"/>
                <w:szCs w:val="50"/>
              </w:rPr>
              <w:t xml:space="preserve"> – 12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00</w:t>
            </w:r>
          </w:p>
        </w:tc>
      </w:tr>
      <w:tr w:rsidR="002402C7" w:rsidRPr="002402C7" w14:paraId="72769842" w14:textId="77777777" w:rsidTr="002E0DC6">
        <w:trPr>
          <w:jc w:val="center"/>
        </w:trPr>
        <w:tc>
          <w:tcPr>
            <w:tcW w:w="988" w:type="dxa"/>
          </w:tcPr>
          <w:p w14:paraId="33DD2438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6.</w:t>
            </w:r>
          </w:p>
        </w:tc>
        <w:tc>
          <w:tcPr>
            <w:tcW w:w="2835" w:type="dxa"/>
          </w:tcPr>
          <w:p w14:paraId="45C35A93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12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25</w:t>
            </w:r>
            <w:r>
              <w:rPr>
                <w:sz w:val="50"/>
                <w:szCs w:val="50"/>
              </w:rPr>
              <w:t xml:space="preserve"> – 13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10</w:t>
            </w:r>
          </w:p>
        </w:tc>
      </w:tr>
      <w:tr w:rsidR="002402C7" w:rsidRPr="002402C7" w14:paraId="569C6944" w14:textId="77777777" w:rsidTr="002E0DC6">
        <w:trPr>
          <w:jc w:val="center"/>
        </w:trPr>
        <w:tc>
          <w:tcPr>
            <w:tcW w:w="988" w:type="dxa"/>
          </w:tcPr>
          <w:p w14:paraId="4ABC1A88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7.</w:t>
            </w:r>
          </w:p>
        </w:tc>
        <w:tc>
          <w:tcPr>
            <w:tcW w:w="2835" w:type="dxa"/>
          </w:tcPr>
          <w:p w14:paraId="2D52A54E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13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20</w:t>
            </w:r>
            <w:r>
              <w:rPr>
                <w:sz w:val="50"/>
                <w:szCs w:val="50"/>
              </w:rPr>
              <w:t xml:space="preserve"> – 14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05</w:t>
            </w:r>
          </w:p>
        </w:tc>
        <w:bookmarkStart w:id="0" w:name="_GoBack"/>
        <w:bookmarkEnd w:id="0"/>
      </w:tr>
      <w:tr w:rsidR="002402C7" w:rsidRPr="002402C7" w14:paraId="554EEB04" w14:textId="77777777" w:rsidTr="002E0DC6">
        <w:trPr>
          <w:jc w:val="center"/>
        </w:trPr>
        <w:tc>
          <w:tcPr>
            <w:tcW w:w="988" w:type="dxa"/>
          </w:tcPr>
          <w:p w14:paraId="497F3DEE" w14:textId="77777777" w:rsidR="002402C7" w:rsidRPr="002402C7" w:rsidRDefault="002402C7">
            <w:pPr>
              <w:rPr>
                <w:sz w:val="50"/>
                <w:szCs w:val="50"/>
              </w:rPr>
            </w:pPr>
            <w:r w:rsidRPr="002402C7">
              <w:rPr>
                <w:sz w:val="50"/>
                <w:szCs w:val="50"/>
              </w:rPr>
              <w:t>8.</w:t>
            </w:r>
          </w:p>
        </w:tc>
        <w:tc>
          <w:tcPr>
            <w:tcW w:w="2835" w:type="dxa"/>
          </w:tcPr>
          <w:p w14:paraId="3177A057" w14:textId="77777777" w:rsidR="002402C7" w:rsidRPr="002402C7" w:rsidRDefault="002402C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14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10</w:t>
            </w:r>
            <w:r>
              <w:rPr>
                <w:sz w:val="50"/>
                <w:szCs w:val="50"/>
              </w:rPr>
              <w:t xml:space="preserve"> – 14 </w:t>
            </w:r>
            <w:r w:rsidRPr="002E0DC6">
              <w:rPr>
                <w:rFonts w:cstheme="minorHAnsi"/>
                <w:sz w:val="50"/>
                <w:szCs w:val="50"/>
                <w:vertAlign w:val="superscript"/>
              </w:rPr>
              <w:t>55</w:t>
            </w:r>
          </w:p>
        </w:tc>
      </w:tr>
    </w:tbl>
    <w:p w14:paraId="4F9AE83F" w14:textId="77777777" w:rsidR="002402C7" w:rsidRDefault="002402C7"/>
    <w:sectPr w:rsidR="002402C7" w:rsidSect="002402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7"/>
    <w:rsid w:val="002402C7"/>
    <w:rsid w:val="002E0DC6"/>
    <w:rsid w:val="00CC3730"/>
    <w:rsid w:val="00D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9342"/>
  <w15:chartTrackingRefBased/>
  <w15:docId w15:val="{F1AD529C-D612-45B2-A6DD-6141774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Laura</dc:creator>
  <cp:keywords/>
  <dc:description/>
  <cp:lastModifiedBy>Molnárné Szabó Edina Judit</cp:lastModifiedBy>
  <cp:revision>2</cp:revision>
  <dcterms:created xsi:type="dcterms:W3CDTF">2022-09-27T06:26:00Z</dcterms:created>
  <dcterms:modified xsi:type="dcterms:W3CDTF">2022-09-27T06:58:00Z</dcterms:modified>
</cp:coreProperties>
</file>